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5569" w14:textId="77777777" w:rsidR="00B30A54" w:rsidRPr="00B30A54" w:rsidRDefault="00B30A54" w:rsidP="00B30A54">
      <w:pPr>
        <w:pBdr>
          <w:bottom w:val="single" w:sz="6" w:space="12" w:color="CCCCCC"/>
        </w:pBdr>
        <w:shd w:val="clear" w:color="auto" w:fill="F9F9F9"/>
        <w:jc w:val="both"/>
        <w:outlineLvl w:val="2"/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sz w:val="31"/>
          <w:szCs w:val="31"/>
          <w:lang w:eastAsia="es-ES_tradnl"/>
          <w14:ligatures w14:val="none"/>
        </w:rPr>
        <w:t>Ley Orgánica 1/2024, de 10 de junio, de amnistía para la normalización institucional, política y social en Cataluña.</w:t>
      </w:r>
    </w:p>
    <w:p w14:paraId="27A14D39" w14:textId="77777777" w:rsidR="0040347F" w:rsidRDefault="0040347F"/>
    <w:p w14:paraId="32181D8C" w14:textId="77777777" w:rsidR="00B30A54" w:rsidRDefault="00B30A54"/>
    <w:p w14:paraId="232F3D36" w14:textId="77777777" w:rsidR="00B30A54" w:rsidRPr="00B30A54" w:rsidRDefault="00B30A54" w:rsidP="00B30A54">
      <w:pPr>
        <w:shd w:val="clear" w:color="auto" w:fill="FFFFFF"/>
        <w:spacing w:before="360" w:after="180"/>
        <w:outlineLvl w:val="4"/>
        <w:rPr>
          <w:rFonts w:ascii="Verdana" w:eastAsia="Times New Roman" w:hAnsi="Verdana" w:cs="Times New Roman"/>
          <w:b/>
          <w:bCs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b/>
          <w:bCs/>
          <w:color w:val="000000"/>
          <w:kern w:val="0"/>
          <w:lang w:eastAsia="es-ES_tradnl"/>
          <w14:ligatures w14:val="none"/>
        </w:rPr>
        <w:t>Disposición final primera. Modificación de la Ley Orgánica 2/1982, de 12 de mayo, del Tribunal de Cuentas.</w:t>
      </w:r>
    </w:p>
    <w:p w14:paraId="664C058D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Se modifica el artículo 39 de la Ley Orgánica 2/1982, de 12 de mayo, del Tribunal de Cuentas, que queda redactado con el siguiente tenor:</w:t>
      </w:r>
    </w:p>
    <w:p w14:paraId="0D7DD043" w14:textId="77777777" w:rsidR="00B30A54" w:rsidRPr="00B30A54" w:rsidRDefault="00B30A54" w:rsidP="00B30A54">
      <w:pPr>
        <w:shd w:val="clear" w:color="auto" w:fill="FFFFFF"/>
        <w:spacing w:before="360" w:after="180"/>
        <w:outlineLvl w:val="4"/>
        <w:rPr>
          <w:rFonts w:ascii="Verdana" w:eastAsia="Times New Roman" w:hAnsi="Verdana" w:cs="Times New Roman"/>
          <w:b/>
          <w:bCs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b/>
          <w:bCs/>
          <w:color w:val="000000"/>
          <w:kern w:val="0"/>
          <w:lang w:eastAsia="es-ES_tradnl"/>
          <w14:ligatures w14:val="none"/>
        </w:rPr>
        <w:t>«Artículo treinta y nueve.</w:t>
      </w:r>
    </w:p>
    <w:p w14:paraId="2EAB4C3E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Uno. Quedarán exentos de responsabilidad quienes actuaren en virtud de obediencia debida, siempre que hubieren advertido por escrito la imprudencia o legalidad de la correspondiente orden, con las razones en que se funden.</w:t>
      </w:r>
    </w:p>
    <w:p w14:paraId="7C98BF4F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Dos. Tampoco se exigirá responsabilidad cuando el retraso en la rendición, justificación o examen de las cuentas y en la solvencia de los reparos sea debido al incumplimiento por otros de sus obligaciones específicas, siempre que el responsable así lo haya hecho constar por escrito.</w:t>
      </w:r>
    </w:p>
    <w:p w14:paraId="0AF04345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Tres. Quedarán exentos de responsabilidad quienes hubiesen cometido actos que hayan sido amnistiados en los términos en los que se establezca en la ley.»</w:t>
      </w:r>
    </w:p>
    <w:p w14:paraId="4AA8AE69" w14:textId="77777777" w:rsidR="00B30A54" w:rsidRPr="00B30A54" w:rsidRDefault="00B30A54" w:rsidP="00B30A54">
      <w:pPr>
        <w:shd w:val="clear" w:color="auto" w:fill="FFFFFF"/>
        <w:spacing w:before="360" w:after="180"/>
        <w:outlineLvl w:val="4"/>
        <w:rPr>
          <w:rFonts w:ascii="Verdana" w:eastAsia="Times New Roman" w:hAnsi="Verdana" w:cs="Times New Roman"/>
          <w:b/>
          <w:bCs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b/>
          <w:bCs/>
          <w:color w:val="000000"/>
          <w:kern w:val="0"/>
          <w:lang w:eastAsia="es-ES_tradnl"/>
          <w14:ligatures w14:val="none"/>
        </w:rPr>
        <w:t>Disposición final segunda. Modificación de la Ley Orgánica 10/1995, de 23 de noviembre, del Código Penal.</w:t>
      </w:r>
    </w:p>
    <w:p w14:paraId="4437DF2A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Se modifica el apartado 1 del artículo 130 del Código Penal, que queda redactado con el siguiente tenor:</w:t>
      </w:r>
    </w:p>
    <w:p w14:paraId="2E79331D" w14:textId="77777777" w:rsidR="00B30A54" w:rsidRPr="00B30A54" w:rsidRDefault="00B30A54" w:rsidP="00B30A54">
      <w:pPr>
        <w:shd w:val="clear" w:color="auto" w:fill="FFFFFF"/>
        <w:spacing w:before="36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«1. La responsabilidad criminal se extingue:</w:t>
      </w:r>
    </w:p>
    <w:p w14:paraId="7AAAA5BD" w14:textId="77777777" w:rsidR="00B30A54" w:rsidRPr="00B30A54" w:rsidRDefault="00B30A54" w:rsidP="00B30A54">
      <w:pPr>
        <w:shd w:val="clear" w:color="auto" w:fill="FFFFFF"/>
        <w:spacing w:before="36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1.º Por la muerte del reo.</w:t>
      </w:r>
    </w:p>
    <w:p w14:paraId="7FA54B6D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2.º Por el cumplimiento de la condena.</w:t>
      </w:r>
    </w:p>
    <w:p w14:paraId="034B99E6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3.º Por la remisión definitiva de la pena, conforme a lo dispuesto en los apartados 1 y 2 del artículo 87.</w:t>
      </w:r>
    </w:p>
    <w:p w14:paraId="065BC56E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4.º Por la amnistía o el indulto.</w:t>
      </w:r>
    </w:p>
    <w:p w14:paraId="09B1BB46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lastRenderedPageBreak/>
        <w:t>5.º Por el perdón de la persona ofendida, cuando se trate de delitos leves perseguibles a instancias de la persona agraviada o la ley así lo prevea. El perdón habrá de ser otorgado de forma expresa antes de que se haya dictado sentencia, a cuyo efecto la autoridad judicial sentenciadora deberá oír a la persona ofendida por el delito antes de dictarla.</w:t>
      </w:r>
    </w:p>
    <w:p w14:paraId="026A1A48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En los delitos cometidos contra personas menores de edad o personas con discapacidad necesitadas de especial protección que afecten a bienes jurídicos eminentemente personales, el perdón de la persona ofendida no extingue la responsabilidad criminal.</w:t>
      </w:r>
    </w:p>
    <w:p w14:paraId="3B7EE6AB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6.º Por la prescripción del delito.</w:t>
      </w:r>
    </w:p>
    <w:p w14:paraId="0E640F00" w14:textId="77777777" w:rsidR="00B30A54" w:rsidRPr="00B30A54" w:rsidRDefault="00B30A54" w:rsidP="00B30A54">
      <w:pPr>
        <w:shd w:val="clear" w:color="auto" w:fill="FFFFFF"/>
        <w:spacing w:before="180" w:after="180"/>
        <w:ind w:firstLine="360"/>
        <w:jc w:val="both"/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</w:pPr>
      <w:r w:rsidRPr="00B30A54">
        <w:rPr>
          <w:rFonts w:ascii="Verdana" w:eastAsia="Times New Roman" w:hAnsi="Verdana" w:cs="Times New Roman"/>
          <w:color w:val="000000"/>
          <w:kern w:val="0"/>
          <w:lang w:eastAsia="es-ES_tradnl"/>
          <w14:ligatures w14:val="none"/>
        </w:rPr>
        <w:t>7.º Por la prescripción de la pena o de la medida de seguridad.»</w:t>
      </w:r>
    </w:p>
    <w:p w14:paraId="3FC03F07" w14:textId="77777777" w:rsidR="00B30A54" w:rsidRDefault="00B30A54"/>
    <w:sectPr w:rsidR="00B30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4"/>
    <w:rsid w:val="0040347F"/>
    <w:rsid w:val="005C20BB"/>
    <w:rsid w:val="009E7D86"/>
    <w:rsid w:val="00B30A54"/>
    <w:rsid w:val="00CA2B85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69F1"/>
  <w15:chartTrackingRefBased/>
  <w15:docId w15:val="{DD531530-D39F-5E4B-8DA4-855F919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0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0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0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30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0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0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0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0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0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30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0A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B30A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0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0A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0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0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0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0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0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0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0A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0A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0A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0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0A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0A54"/>
    <w:rPr>
      <w:b/>
      <w:bCs/>
      <w:smallCaps/>
      <w:color w:val="0F4761" w:themeColor="accent1" w:themeShade="BF"/>
      <w:spacing w:val="5"/>
    </w:rPr>
  </w:style>
  <w:style w:type="paragraph" w:customStyle="1" w:styleId="parrafo">
    <w:name w:val="parrafo"/>
    <w:basedOn w:val="Normal"/>
    <w:rsid w:val="00B30A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linksubir">
    <w:name w:val="linksubir"/>
    <w:basedOn w:val="Normal"/>
    <w:rsid w:val="00B30A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30A54"/>
    <w:rPr>
      <w:color w:val="0000FF"/>
      <w:u w:val="single"/>
    </w:rPr>
  </w:style>
  <w:style w:type="paragraph" w:customStyle="1" w:styleId="bloque">
    <w:name w:val="bloque"/>
    <w:basedOn w:val="Normal"/>
    <w:rsid w:val="00B30A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parrafo2">
    <w:name w:val="parrafo_2"/>
    <w:basedOn w:val="Normal"/>
    <w:rsid w:val="00B30A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20143">
              <w:blockQuote w:val="1"/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008">
              <w:blockQuote w:val="1"/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MURO</dc:creator>
  <cp:keywords/>
  <dc:description/>
  <cp:lastModifiedBy>PABLO MURO</cp:lastModifiedBy>
  <cp:revision>1</cp:revision>
  <dcterms:created xsi:type="dcterms:W3CDTF">2024-06-16T09:57:00Z</dcterms:created>
  <dcterms:modified xsi:type="dcterms:W3CDTF">2024-06-16T09:59:00Z</dcterms:modified>
</cp:coreProperties>
</file>